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74FCB">
      <w:pPr>
        <w:adjustRightInd w:val="0"/>
        <w:snapToGrid w:val="0"/>
        <w:spacing w:before="312" w:beforeLines="100" w:after="312" w:afterLines="100" w:line="560" w:lineRule="exact"/>
        <w:ind w:firstLine="602" w:firstLineChars="200"/>
        <w:jc w:val="center"/>
        <w:outlineLvl w:val="1"/>
        <w:rPr>
          <w:rFonts w:asciiTheme="minorEastAsia" w:hAnsiTheme="minorEastAsia" w:cstheme="minorEastAsia"/>
          <w:b/>
          <w:color w:val="000000" w:themeColor="text1"/>
          <w:sz w:val="30"/>
          <w:szCs w:val="30"/>
          <w14:textFill>
            <w14:solidFill>
              <w14:schemeClr w14:val="tx1"/>
            </w14:solidFill>
          </w14:textFill>
        </w:rPr>
      </w:pPr>
      <w:bookmarkStart w:id="0" w:name="_Toc21106"/>
      <w:bookmarkStart w:id="1" w:name="_Toc162103502"/>
      <w:r>
        <w:rPr>
          <w:rFonts w:hint="eastAsia" w:asciiTheme="minorEastAsia" w:hAnsiTheme="minorEastAsia" w:cstheme="minorEastAsia"/>
          <w:b/>
          <w:color w:val="000000" w:themeColor="text1"/>
          <w:sz w:val="30"/>
          <w:szCs w:val="30"/>
          <w:lang w:val="en-US" w:eastAsia="zh-CN"/>
          <w14:textFill>
            <w14:solidFill>
              <w14:schemeClr w14:val="tx1"/>
            </w14:solidFill>
          </w14:textFill>
        </w:rPr>
        <w:t>附件：</w:t>
      </w:r>
      <w:bookmarkEnd w:id="0"/>
      <w:bookmarkEnd w:id="1"/>
      <w:r>
        <w:rPr>
          <w:rFonts w:hint="eastAsia" w:asciiTheme="minorEastAsia" w:hAnsiTheme="minorEastAsia" w:cstheme="minorEastAsia"/>
          <w:b/>
          <w:color w:val="000000" w:themeColor="text1"/>
          <w:sz w:val="30"/>
          <w:szCs w:val="30"/>
          <w14:textFill>
            <w14:solidFill>
              <w14:schemeClr w14:val="tx1"/>
            </w14:solidFill>
          </w14:textFill>
        </w:rPr>
        <w:t>货物采购需求表</w:t>
      </w:r>
    </w:p>
    <w:tbl>
      <w:tblPr>
        <w:tblStyle w:val="5"/>
        <w:tblW w:w="0" w:type="auto"/>
        <w:tblInd w:w="-176" w:type="dxa"/>
        <w:tblLayout w:type="fixed"/>
        <w:tblCellMar>
          <w:top w:w="0" w:type="dxa"/>
          <w:left w:w="108" w:type="dxa"/>
          <w:bottom w:w="0" w:type="dxa"/>
          <w:right w:w="108" w:type="dxa"/>
        </w:tblCellMar>
      </w:tblPr>
      <w:tblGrid>
        <w:gridCol w:w="568"/>
        <w:gridCol w:w="1134"/>
        <w:gridCol w:w="567"/>
        <w:gridCol w:w="1417"/>
        <w:gridCol w:w="4118"/>
        <w:gridCol w:w="447"/>
        <w:gridCol w:w="447"/>
      </w:tblGrid>
      <w:tr w14:paraId="7C3E26FE">
        <w:tblPrEx>
          <w:tblCellMar>
            <w:top w:w="0" w:type="dxa"/>
            <w:left w:w="108" w:type="dxa"/>
            <w:bottom w:w="0" w:type="dxa"/>
            <w:right w:w="108" w:type="dxa"/>
          </w:tblCellMar>
        </w:tblPrEx>
        <w:trPr>
          <w:trHeight w:val="28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7E17">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126B">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产品名称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735F">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品牌</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734A">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产品型号</w:t>
            </w:r>
          </w:p>
        </w:tc>
        <w:tc>
          <w:tcPr>
            <w:tcW w:w="4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C506">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规格</w:t>
            </w:r>
            <w:r>
              <w:rPr>
                <w:rFonts w:ascii="宋体" w:hAnsi="宋体" w:eastAsia="宋体" w:cs="宋体"/>
                <w:b/>
                <w:bCs/>
                <w:color w:val="000000"/>
                <w:kern w:val="0"/>
                <w:sz w:val="22"/>
                <w:szCs w:val="22"/>
              </w:rPr>
              <w:t>/参数</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47F2">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单位</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9CA2">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数量</w:t>
            </w:r>
          </w:p>
        </w:tc>
      </w:tr>
      <w:tr w14:paraId="589F0534">
        <w:tblPrEx>
          <w:tblCellMar>
            <w:top w:w="0" w:type="dxa"/>
            <w:left w:w="108" w:type="dxa"/>
            <w:bottom w:w="0" w:type="dxa"/>
            <w:right w:w="108" w:type="dxa"/>
          </w:tblCellMar>
        </w:tblPrEx>
        <w:trPr>
          <w:trHeight w:val="13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13F3">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BF8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集控探针1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CB4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辰锐</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54E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CMAS-TZ-1000</w:t>
            </w:r>
          </w:p>
        </w:tc>
        <w:tc>
          <w:tcPr>
            <w:tcW w:w="4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065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1、用于平台内部设备状态获取以及设备管理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2、2U标准机架式设备，6个千兆网络接口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3、使用安全加固的Linux操作系统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4、稳定性运行时间(MTBF)：≥50000小时</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D3E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5F4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23477B64">
        <w:tblPrEx>
          <w:tblCellMar>
            <w:top w:w="0" w:type="dxa"/>
            <w:left w:w="108" w:type="dxa"/>
            <w:bottom w:w="0" w:type="dxa"/>
            <w:right w:w="108" w:type="dxa"/>
          </w:tblCellMar>
        </w:tblPrEx>
        <w:trPr>
          <w:trHeight w:val="26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8872">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833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设备准入控制1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152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辰锐</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ED9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TBSG-5000</w:t>
            </w:r>
          </w:p>
        </w:tc>
        <w:tc>
          <w:tcPr>
            <w:tcW w:w="4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508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1、支持基于终端特征的设备认证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2、支持基于细粒度授权管理策略的内信息资源及应用系统强制访问控制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3、稳定性 MTBF(平均无故障时间间隔)≥50000小时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4、支持双机热备、支持负载均衡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5、包括访问控制模块、审计模块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7、支持通过非802.1X准入给交换机下发ACL方式实现终端的准入控制，通过旁路部署方式不需额外部署客户端</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24B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0F0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6850D2FC">
        <w:tblPrEx>
          <w:tblCellMar>
            <w:top w:w="0" w:type="dxa"/>
            <w:left w:w="108" w:type="dxa"/>
            <w:bottom w:w="0" w:type="dxa"/>
            <w:right w:w="108" w:type="dxa"/>
          </w:tblCellMar>
        </w:tblPrEx>
        <w:trPr>
          <w:trHeight w:val="26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40CC">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946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集中监管与控制系统1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D3B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辰锐</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0CE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CMAS-JK-1000</w:t>
            </w:r>
          </w:p>
        </w:tc>
        <w:tc>
          <w:tcPr>
            <w:tcW w:w="4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9B3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1、统一管理边界安全相关设备；可以实时监控相关安全设备运行情况以及系统状态情况；并实现对下级系统的管理和向上级网络的级联上报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2、2U标准机架式设备，6个千兆高速以太网网络接口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3、稳定性运行时间（MTBF）：≥50000小时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4、内置级联上报信息系统，支持上下级级联</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AB6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D62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24BB49AA">
        <w:tblPrEx>
          <w:tblCellMar>
            <w:top w:w="0" w:type="dxa"/>
            <w:left w:w="108" w:type="dxa"/>
            <w:bottom w:w="0" w:type="dxa"/>
            <w:right w:w="108" w:type="dxa"/>
          </w:tblCellMar>
        </w:tblPrEx>
        <w:trPr>
          <w:trHeight w:val="442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E00A">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41C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安全请求服务系统</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A6B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辰锐</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E17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CRSS-20000</w:t>
            </w:r>
          </w:p>
        </w:tc>
        <w:tc>
          <w:tcPr>
            <w:tcW w:w="4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AAC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1、由内请求服务（IRS）和外请求服务（ERS）二台硬件设备组成，用于实现跨网数据请求与响应；与数据交换系统、单向导入系统无缝对接，保证传输数据、内网网络环境安全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2、内外请求服务系统：10/100/1000Mbps以太网络接口：4个，SFP+万兆光纤网络接口:6个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3、具备Linux的高性能安全操作系统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4、系统吞吐量（数据吞吐量）：6000Mbps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5、支持各种Web Service接口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6、支持接入服务资源的管理，包括服务注册、控制和维护</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7、支持请求服务行为的审计，包括用户信息审计、行为信息审计、访问内容审计等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8、支持对SOAP协议的格式检查及内容过滤；防止数据被窃听、被篡改</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72A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4A7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7FFC7A7D">
        <w:tblPrEx>
          <w:tblCellMar>
            <w:top w:w="0" w:type="dxa"/>
            <w:left w:w="108" w:type="dxa"/>
            <w:bottom w:w="0" w:type="dxa"/>
            <w:right w:w="108" w:type="dxa"/>
          </w:tblCellMar>
        </w:tblPrEx>
        <w:trPr>
          <w:trHeight w:val="78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0763">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8054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安全单向隔离光闸</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423B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辰锐</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442D">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OWST-20000</w:t>
            </w:r>
          </w:p>
        </w:tc>
        <w:tc>
          <w:tcPr>
            <w:tcW w:w="4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572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1、2U标准机架式机箱设备，双主机架构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2、属完全自主开发，物理部件通过光单向传输数据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3、保证信任网络和非信任网络之间物理层的断开</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4、标配双冗余电源；10/100/1000M 电口：6个；SFP+ 万兆光口：2个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5、采用身份认证技术对使用光闸的用户进行身份鉴别，以确保只有合法用户和计算机能使用光闸系统传输数据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6、支持专用客户端等方式的文件数据物理单向传输（外向内）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7、支持实时文件摆渡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8、支持文件类型过滤</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9、支持文件后缀过滤，支持多文件并发传输</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10、根据权限划分每个用户的文件传输通道</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11、数据传输高度可靠，采用缓存确认机制进行保证</w:t>
            </w:r>
            <w:bookmarkStart w:id="2" w:name="_GoBack"/>
            <w:bookmarkEnd w:id="2"/>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12、支持系统日志显示、读取功能，日志信息可配置、可管理，专用日志服务程序处理系统日志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13、提供日志审计、导出、过滤等强化功能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14、支持kafka同步，认证方式包含：PLANTEXT、SASL_PLANTEXT、KERBEROS；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15、应用传输性能：6Gbps；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16、数据库传输能力：4000条/秒；</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17、稳定运行时间 MBTF：≥50000小时</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E64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26E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5CDC4BD5">
        <w:tblPrEx>
          <w:tblCellMar>
            <w:top w:w="0" w:type="dxa"/>
            <w:left w:w="108" w:type="dxa"/>
            <w:bottom w:w="0" w:type="dxa"/>
            <w:right w:w="108" w:type="dxa"/>
          </w:tblCellMar>
        </w:tblPrEx>
        <w:trPr>
          <w:trHeight w:val="806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7084">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044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安全单向传输系统</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7F9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辰锐</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226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OWST-20000</w:t>
            </w:r>
          </w:p>
        </w:tc>
        <w:tc>
          <w:tcPr>
            <w:tcW w:w="4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113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1、由单向导入前置机、单向导入服务器组成，均为2U 高端机架式设备，部署在安全单向隔离光闸前后</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2、10/100/1000M 电口：4个；SFP 千兆光口：2个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3、标配双冗余电源</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4、采用具有人性化的 B/S 管理界面，非信任端与信任端分开管理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5、文件单向传输任务具备对源端文件处理策略（删除、备份），支持SFTP传输加密功能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6、支持多种数据库，包括：达梦、南大通用、神州通用(oscar)、人大金仓、Oracle、My SQL Server、MySQL等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7、具有文件交换冲突选项，具备策略：覆盖、放弃、重命名</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8、支持多种数据库同步方式：触发器方式，全表采集方式，同表单向数据同步，主从表单向数据同步，删除源数据等同步方式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9、支持不同类型数据库之间及异构数据库的数据类型转换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10、支持断点重传功能，在出现断电或传输中断等情况下，能够保证系统恢复后，交换数据的重传或续传，防止数据丢失现象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11、支持kafka同步，认证方式包含：PLANTEXT、SASL_PLANTEXT、KERBEROS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12、应用数据吞吐量：6Gbps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 数据库传输能力：4000条/秒</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14、稳定性运行时间(MTBF) ≥50000小时</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5A6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D27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53EDC07A">
        <w:tblPrEx>
          <w:tblCellMar>
            <w:top w:w="0" w:type="dxa"/>
            <w:left w:w="108" w:type="dxa"/>
            <w:bottom w:w="0" w:type="dxa"/>
            <w:right w:w="108" w:type="dxa"/>
          </w:tblCellMar>
        </w:tblPrEx>
        <w:trPr>
          <w:trHeight w:val="13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6F15">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558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集控探针3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782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辰锐</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B0E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CMAS-TZ-1000</w:t>
            </w:r>
          </w:p>
        </w:tc>
        <w:tc>
          <w:tcPr>
            <w:tcW w:w="4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4AB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1、用于平台内部设备状态获取以及设备管理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2、2U标准机架式设备，6个千兆网络接口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3、使用安全加固的Linux操作系统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4、稳定性运行时间(MTBF)：≥50000小时</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C4E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639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66B042CD">
        <w:tblPrEx>
          <w:tblCellMar>
            <w:top w:w="0" w:type="dxa"/>
            <w:left w:w="108" w:type="dxa"/>
            <w:bottom w:w="0" w:type="dxa"/>
            <w:right w:w="108" w:type="dxa"/>
          </w:tblCellMar>
        </w:tblPrEx>
        <w:trPr>
          <w:trHeight w:val="416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17AD">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48F4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视频安全隔离网网闸</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C24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辰锐</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AFE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VSAS-20000</w:t>
            </w:r>
          </w:p>
        </w:tc>
        <w:tc>
          <w:tcPr>
            <w:tcW w:w="4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501F">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1、具备Linux的高性能安全操作系统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2、中间隔离部件保证隔离的有效性及安全；保证信任网络和非信任网络之间链路层的断开，彻底阻断TCP/IP协议以及其他网络协议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3、100/1000Mbase-TX*12个以太接口，4个万兆光纤接口，支持扩展光纤接口（多模或单模）冗余电源</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4、系统吞吐量：8Gbps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5、支持文件传输；支持数据库同步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6、消息传输，提供API函数接口用于二次开发，包括C、JAVA接口类型，能与安全数据交换平台接口兼容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7、支持视频流媒体以及其他常见协议数据传输通信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8、支持双机热备</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ECD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F4C1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14:paraId="30C09756">
        <w:tblPrEx>
          <w:tblCellMar>
            <w:top w:w="0" w:type="dxa"/>
            <w:left w:w="108" w:type="dxa"/>
            <w:bottom w:w="0" w:type="dxa"/>
            <w:right w:w="108" w:type="dxa"/>
          </w:tblCellMar>
        </w:tblPrEx>
        <w:trPr>
          <w:trHeight w:val="806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63E1">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46D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安全视频交换系统</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A6D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辰锐</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DD9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VSAS-20000</w:t>
            </w:r>
          </w:p>
        </w:tc>
        <w:tc>
          <w:tcPr>
            <w:tcW w:w="4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55A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1、硬件由二台设备组成，分别为：一台视频接入认证服务器、一台视频用户认证服务器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2、视频接入认证服务器：具备冗余电源；4个千兆高速以太网络接口和2个SFP+接口；视频用户认证服务器：具备冗余电源；具备4个千兆高速以太网络接口和2个SFP+接口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3、使用安全加固的Linux操作系统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4、支持2000路D1图像线性传输</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5、视频图像传输能力：7.5Gbps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6、系统支持配置参数导入方式支持新的视频厂商协议安全接入；能够直接识别各种通用的视频格式，仅允许合法的视频数据通过，支持对数据流安全检测过滤功能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7、支持通用视频厂商的视频平台信令协议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8、支持在IPV4协议和IPV6协议环境下，对视频流使用用户、源端IP地址、目的端IP地址、访问时间进行控制；可对视频流进行丢帧、插帧处理；可对信令协议做register、play等关键字过滤，控制操作类型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9、产品支持IPV6接入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10、提供控制信令的黑白名单过滤；提供视频流格式黑白名单过滤；提供视频流丢帧、插帧安全控制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11、提供基于用户身份的黑白名单过滤；提供基于控制信令关键字的过滤；提供基于源目标IP地址的黑白名单过滤</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12、支持云台控制命令</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14、产品支持35114标准的视频平台的接入</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F05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591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14:paraId="7F04C96B">
        <w:tblPrEx>
          <w:tblCellMar>
            <w:top w:w="0" w:type="dxa"/>
            <w:left w:w="108" w:type="dxa"/>
            <w:bottom w:w="0" w:type="dxa"/>
            <w:right w:w="108" w:type="dxa"/>
          </w:tblCellMar>
        </w:tblPrEx>
        <w:trPr>
          <w:trHeight w:val="260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2AB1">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818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设备准入控制2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C9A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辰锐</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61A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TBSG-5000</w:t>
            </w:r>
          </w:p>
        </w:tc>
        <w:tc>
          <w:tcPr>
            <w:tcW w:w="4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44C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1、支持基于终端特征的设备认证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2、支持基于细粒度授权管理策略的内信息资源及应用系统强制访问控制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3、稳定性 MTBF(平均无故障时间间隔)≥50000小时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4、支持双机热备、支持负载均衡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5、包括访问控制模块、审计模块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6、支持通过非802.1X准入给交换机下发ACL方式实现终端的准入控制，通过旁路部署方式不需额外部署客户端</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65C3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E14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7EAA14C3">
        <w:tblPrEx>
          <w:tblCellMar>
            <w:top w:w="0" w:type="dxa"/>
            <w:left w:w="108" w:type="dxa"/>
            <w:bottom w:w="0" w:type="dxa"/>
            <w:right w:w="108" w:type="dxa"/>
          </w:tblCellMar>
        </w:tblPrEx>
        <w:trPr>
          <w:trHeight w:val="416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BD4E">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4FD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网闸</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AD0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辰锐</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E41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CSGS-20000</w:t>
            </w:r>
          </w:p>
        </w:tc>
        <w:tc>
          <w:tcPr>
            <w:tcW w:w="4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9F2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1、具备Linux的高性能安全操作系统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2、中间隔离部件保证隔离的有效性及安全；保证信任网络和非信任网络之间链路层的断开，彻底阻断TCP/IP协议以及其他网络协议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3、100/1000Mbase-TX*12个以太接口，4个万兆光纤接口，支持扩展光纤接口（多模或单模）冗余电源</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4、系统吞吐量:8Gbps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5、支持文件传输；支持数据库同步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6、消息传输，提供API函数接口用于二次开发，包括C、JAVA接口类型，能与安全数据交换平台接口兼容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7、支持视频流媒体以及其他常见协议数据传输通信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8、支持双机热备</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251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C0B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bl>
    <w:p w14:paraId="0F9A0A14">
      <w:pPr>
        <w:widowControl/>
        <w:jc w:val="both"/>
        <w:rPr>
          <w:rFonts w:hint="eastAsia" w:ascii="宋体" w:hAnsi="宋体" w:eastAsia="宋体" w:cs="宋体"/>
          <w:kern w:val="0"/>
          <w:sz w:val="22"/>
          <w:szCs w:val="2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B557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55B31">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455B31">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yOGY0ODlmYmZkOTJhMTFjNTE4YWVkNWEwNDI3ZjkifQ=="/>
  </w:docVars>
  <w:rsids>
    <w:rsidRoot w:val="00000000"/>
    <w:rsid w:val="002E3B01"/>
    <w:rsid w:val="0A3B6E19"/>
    <w:rsid w:val="0F2069CD"/>
    <w:rsid w:val="10A12EBE"/>
    <w:rsid w:val="1F135571"/>
    <w:rsid w:val="228977BE"/>
    <w:rsid w:val="26E433EA"/>
    <w:rsid w:val="3AE55EE0"/>
    <w:rsid w:val="53001DAB"/>
    <w:rsid w:val="5B2151FA"/>
    <w:rsid w:val="66A17150"/>
    <w:rsid w:val="66CD740B"/>
    <w:rsid w:val="751E3502"/>
    <w:rsid w:val="79006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9"/>
    </w:pPr>
    <w:rPr>
      <w:rFonts w:ascii="宋体" w:hAnsi="宋体" w:eastAsia="宋体"/>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4659</Words>
  <Characters>5286</Characters>
  <Lines>0</Lines>
  <Paragraphs>0</Paragraphs>
  <TotalTime>6</TotalTime>
  <ScaleCrop>false</ScaleCrop>
  <LinksUpToDate>false</LinksUpToDate>
  <CharactersWithSpaces>5301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2024-03-25T06:45:00Z</dcterms:created>
  <dc:creator>xinghuo</dc:creator>
  <cp:lastModifiedBy>XHCGB</cp:lastModifiedBy>
  <dcterms:modified xsi:type="dcterms:W3CDTF">2024-10-14T11:07:11Z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2E0F9CF4471D46B8A7D76F7C33002ABA_12</vt:lpwstr>
  </property>
</Properties>
</file>